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AFBCF" w14:textId="77777777" w:rsidR="00913515" w:rsidRDefault="007B6691" w:rsidP="007B6691">
      <w:pPr>
        <w:jc w:val="center"/>
      </w:pPr>
      <w:r>
        <w:rPr>
          <w:noProof/>
        </w:rPr>
        <w:drawing>
          <wp:inline distT="0" distB="0" distL="0" distR="0" wp14:anchorId="214BE510" wp14:editId="3801462F">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774B13CE" w14:textId="77777777" w:rsidR="007B6691" w:rsidRDefault="007B6691"/>
    <w:p w14:paraId="1643BD59" w14:textId="77777777" w:rsidR="00B7282C" w:rsidRPr="00C667F8" w:rsidRDefault="007B6691" w:rsidP="007B6691">
      <w:pPr>
        <w:pStyle w:val="Heading1"/>
        <w:jc w:val="center"/>
      </w:pPr>
      <w:r w:rsidRPr="00C667F8">
        <w:t>Asheville-Bunco</w:t>
      </w:r>
      <w:r w:rsidR="00B7282C" w:rsidRPr="00C667F8">
        <w:t>mbe Technical Community College</w:t>
      </w:r>
    </w:p>
    <w:p w14:paraId="3FC3CE62" w14:textId="77777777" w:rsidR="007B6691" w:rsidRPr="00C667F8" w:rsidRDefault="007B6691" w:rsidP="007B6691">
      <w:pPr>
        <w:pStyle w:val="Heading1"/>
        <w:jc w:val="center"/>
      </w:pPr>
      <w:r w:rsidRPr="00C667F8">
        <w:t xml:space="preserve">(A-B Tech) </w:t>
      </w:r>
      <w:r w:rsidR="00B7282C" w:rsidRPr="00C667F8">
        <w:t>Procedure</w:t>
      </w:r>
    </w:p>
    <w:p w14:paraId="55D15147" w14:textId="77777777" w:rsidR="007B6691" w:rsidRPr="00C667F8" w:rsidRDefault="007B6691" w:rsidP="007B6691">
      <w:pPr>
        <w:jc w:val="center"/>
        <w:rPr>
          <w:rFonts w:asciiTheme="majorHAnsi" w:hAnsiTheme="majorHAnsi"/>
          <w:b/>
        </w:rPr>
      </w:pPr>
    </w:p>
    <w:p w14:paraId="5A27FC2A" w14:textId="77777777" w:rsidR="007B6691" w:rsidRPr="00C667F8" w:rsidRDefault="00B7282C" w:rsidP="007B6691">
      <w:pPr>
        <w:pStyle w:val="Heading2"/>
        <w:rPr>
          <w:sz w:val="28"/>
          <w:szCs w:val="28"/>
        </w:rPr>
      </w:pPr>
      <w:r w:rsidRPr="00C667F8">
        <w:rPr>
          <w:sz w:val="28"/>
          <w:szCs w:val="28"/>
        </w:rPr>
        <w:t>Procedure</w:t>
      </w:r>
      <w:r w:rsidR="007B6691" w:rsidRPr="00C667F8">
        <w:rPr>
          <w:sz w:val="28"/>
          <w:szCs w:val="28"/>
        </w:rPr>
        <w:t xml:space="preserve"> </w:t>
      </w:r>
      <w:r w:rsidR="00AA5AB9" w:rsidRPr="00C667F8">
        <w:rPr>
          <w:sz w:val="28"/>
          <w:szCs w:val="28"/>
        </w:rPr>
        <w:t>511</w:t>
      </w:r>
      <w:r w:rsidR="006F1627" w:rsidRPr="00C667F8">
        <w:rPr>
          <w:sz w:val="28"/>
          <w:szCs w:val="28"/>
        </w:rPr>
        <w:t xml:space="preserve">:  </w:t>
      </w:r>
      <w:r w:rsidR="00AA5AB9" w:rsidRPr="00C667F8">
        <w:rPr>
          <w:sz w:val="28"/>
          <w:szCs w:val="28"/>
        </w:rPr>
        <w:t>Standing Committees</w:t>
      </w:r>
    </w:p>
    <w:p w14:paraId="4B01BC43" w14:textId="39C9522A" w:rsidR="00AA5AB9" w:rsidRDefault="00AA5AB9" w:rsidP="002736E4">
      <w:pPr>
        <w:spacing w:before="120" w:after="120" w:line="240" w:lineRule="auto"/>
      </w:pPr>
      <w:r>
        <w:t>Standing Committees are official College committees, formed to do assigned work on a continuous basis.</w:t>
      </w:r>
      <w:r w:rsidR="00EA28B8">
        <w:t xml:space="preserve">  This procedure allows for more involvement of personnel in committee activities and proper rotation of membership without excessive demands on individuals.</w:t>
      </w:r>
    </w:p>
    <w:p w14:paraId="1CA02A7D" w14:textId="77777777" w:rsidR="00AA5AB9" w:rsidRDefault="00AA5AB9" w:rsidP="002736E4">
      <w:pPr>
        <w:pStyle w:val="ListParagraph"/>
        <w:numPr>
          <w:ilvl w:val="0"/>
          <w:numId w:val="2"/>
        </w:numPr>
        <w:spacing w:before="120" w:after="120" w:line="240" w:lineRule="auto"/>
      </w:pPr>
      <w:r>
        <w:t>The President has established the following procedures for rotation of memberships on Standing Committees:</w:t>
      </w:r>
    </w:p>
    <w:p w14:paraId="478AB036" w14:textId="77777777" w:rsidR="00AA5AB9" w:rsidRDefault="00AA5AB9" w:rsidP="002736E4">
      <w:pPr>
        <w:pStyle w:val="ListParagraph"/>
        <w:numPr>
          <w:ilvl w:val="1"/>
          <w:numId w:val="2"/>
        </w:numPr>
        <w:spacing w:before="120" w:after="120" w:line="240" w:lineRule="auto"/>
      </w:pPr>
      <w:r>
        <w:t xml:space="preserve">In March of each year, the deans and directors will recommend names of faculty and staff who are interested in serving on specific standing committees for the next year to their appropriate vice president. </w:t>
      </w:r>
    </w:p>
    <w:p w14:paraId="2E96E74D" w14:textId="20DFB21B" w:rsidR="00AA5AB9" w:rsidRDefault="00AA5AB9" w:rsidP="002736E4">
      <w:pPr>
        <w:pStyle w:val="ListParagraph"/>
        <w:numPr>
          <w:ilvl w:val="1"/>
          <w:numId w:val="2"/>
        </w:numPr>
        <w:spacing w:before="120" w:after="120" w:line="240" w:lineRule="auto"/>
      </w:pPr>
      <w:r>
        <w:t xml:space="preserve">By May, the Executive Leadership Team </w:t>
      </w:r>
      <w:r w:rsidR="00EA28B8">
        <w:t xml:space="preserve">(ELT) </w:t>
      </w:r>
      <w:r>
        <w:t>will review all of the names submitted and assign them to standing committees.</w:t>
      </w:r>
    </w:p>
    <w:p w14:paraId="6E344D16" w14:textId="77777777" w:rsidR="00AA5AB9" w:rsidRDefault="00AA5AB9" w:rsidP="002736E4">
      <w:pPr>
        <w:pStyle w:val="ListParagraph"/>
        <w:numPr>
          <w:ilvl w:val="1"/>
          <w:numId w:val="2"/>
        </w:numPr>
        <w:spacing w:before="120" w:after="120" w:line="240" w:lineRule="auto"/>
      </w:pPr>
      <w:r>
        <w:t xml:space="preserve">All Standing Committees will begin the year as of July 1 and continue throughout the academic year. </w:t>
      </w:r>
    </w:p>
    <w:p w14:paraId="677E3635" w14:textId="77777777" w:rsidR="00AA5AB9" w:rsidRDefault="00AA5AB9" w:rsidP="002736E4">
      <w:pPr>
        <w:pStyle w:val="ListParagraph"/>
        <w:numPr>
          <w:ilvl w:val="0"/>
          <w:numId w:val="2"/>
        </w:numPr>
        <w:spacing w:before="120" w:after="120" w:line="240" w:lineRule="auto"/>
      </w:pPr>
      <w:r>
        <w:t>Committee appointments and officer selections should be made during the spring semester in preparation for the fall semester rotation.</w:t>
      </w:r>
    </w:p>
    <w:p w14:paraId="445CF0DF" w14:textId="77777777" w:rsidR="00AA5AB9" w:rsidRDefault="00AA5AB9" w:rsidP="002736E4">
      <w:pPr>
        <w:pStyle w:val="ListParagraph"/>
        <w:numPr>
          <w:ilvl w:val="0"/>
          <w:numId w:val="2"/>
        </w:numPr>
        <w:spacing w:before="120" w:after="120" w:line="240" w:lineRule="auto"/>
      </w:pPr>
      <w:r>
        <w:t>Rotation should change one-half of the committee membership each year to assure continuity and stability.</w:t>
      </w:r>
    </w:p>
    <w:p w14:paraId="3C916711" w14:textId="7E30CF44" w:rsidR="00AA5AB9" w:rsidRDefault="00EA28B8" w:rsidP="002736E4">
      <w:pPr>
        <w:pStyle w:val="ListParagraph"/>
        <w:numPr>
          <w:ilvl w:val="0"/>
          <w:numId w:val="2"/>
        </w:numPr>
        <w:spacing w:before="120" w:after="120" w:line="240" w:lineRule="auto"/>
      </w:pPr>
      <w:r>
        <w:t>Committee chairs should be limited to two (2) consecutive terms on a committee, allowing a minimum break of two 92) years before reappointment to the chair.  Exceptions will be approved by the appropriate ELT member.</w:t>
      </w:r>
    </w:p>
    <w:p w14:paraId="312BB8AA" w14:textId="77777777" w:rsidR="00AA5AB9" w:rsidRDefault="00AA5AB9" w:rsidP="002736E4">
      <w:pPr>
        <w:pStyle w:val="ListParagraph"/>
        <w:numPr>
          <w:ilvl w:val="0"/>
          <w:numId w:val="2"/>
        </w:numPr>
        <w:spacing w:before="120" w:after="120" w:line="240" w:lineRule="auto"/>
      </w:pPr>
      <w:r>
        <w:t>Committee members who serve because of professional position at the College are permanent members and do not rotate.</w:t>
      </w:r>
    </w:p>
    <w:p w14:paraId="51232E8C" w14:textId="61754336" w:rsidR="00AA5AB9" w:rsidRDefault="00EA28B8" w:rsidP="002736E4">
      <w:pPr>
        <w:pStyle w:val="ListParagraph"/>
        <w:numPr>
          <w:ilvl w:val="0"/>
          <w:numId w:val="2"/>
        </w:numPr>
        <w:spacing w:before="120" w:after="120" w:line="240" w:lineRule="auto"/>
      </w:pPr>
      <w:r>
        <w:t xml:space="preserve">Each committee may report to the ELT about their deliverables and outcomes as needed.  </w:t>
      </w:r>
    </w:p>
    <w:p w14:paraId="26D6CAD3" w14:textId="2B6D703A" w:rsidR="00EA28B8" w:rsidRDefault="00EA28B8" w:rsidP="002736E4">
      <w:pPr>
        <w:pStyle w:val="ListParagraph"/>
        <w:numPr>
          <w:ilvl w:val="0"/>
          <w:numId w:val="2"/>
        </w:numPr>
        <w:spacing w:before="120" w:after="120" w:line="240" w:lineRule="auto"/>
      </w:pPr>
      <w:r>
        <w:t>Employees may be appointed to a maximum of two committees.  Exceptions may be made by the appropriate ELT member.</w:t>
      </w:r>
    </w:p>
    <w:p w14:paraId="2139EA8F" w14:textId="159DD68A" w:rsidR="00EA28B8" w:rsidRDefault="00EA28B8" w:rsidP="002736E4">
      <w:pPr>
        <w:pStyle w:val="ListParagraph"/>
        <w:numPr>
          <w:ilvl w:val="0"/>
          <w:numId w:val="2"/>
        </w:numPr>
        <w:spacing w:before="120" w:after="120" w:line="240" w:lineRule="auto"/>
      </w:pPr>
      <w:r>
        <w:t>Employees may volunteer for certain committees with supervisor approval.</w:t>
      </w:r>
    </w:p>
    <w:p w14:paraId="4DBD9EC7" w14:textId="77777777" w:rsidR="00AA5AB9" w:rsidRDefault="00AA5AB9" w:rsidP="002736E4">
      <w:pPr>
        <w:pStyle w:val="Heading2"/>
      </w:pPr>
      <w:r>
        <w:t>Definitions:</w:t>
      </w:r>
    </w:p>
    <w:p w14:paraId="7E812409" w14:textId="77777777" w:rsidR="00AA5AB9" w:rsidRDefault="00AA5AB9" w:rsidP="002736E4">
      <w:pPr>
        <w:spacing w:before="120" w:after="120" w:line="240" w:lineRule="auto"/>
      </w:pPr>
      <w:r w:rsidRPr="002736E4">
        <w:rPr>
          <w:rStyle w:val="Heading3Char"/>
        </w:rPr>
        <w:t>Deliverables:</w:t>
      </w:r>
      <w:r>
        <w:t xml:space="preserve"> </w:t>
      </w:r>
      <w:r w:rsidR="002736E4">
        <w:t xml:space="preserve"> I</w:t>
      </w:r>
      <w:r>
        <w:t>tems that are the result of the work that the committee has done.</w:t>
      </w:r>
    </w:p>
    <w:p w14:paraId="3B50751D" w14:textId="77777777" w:rsidR="00AA5AB9" w:rsidRDefault="00AA5AB9" w:rsidP="002736E4">
      <w:pPr>
        <w:spacing w:before="120" w:after="120" w:line="240" w:lineRule="auto"/>
      </w:pPr>
      <w:r w:rsidRPr="002736E4">
        <w:rPr>
          <w:rStyle w:val="Heading3Char"/>
        </w:rPr>
        <w:t>Outcomes:</w:t>
      </w:r>
      <w:r>
        <w:t xml:space="preserve"> </w:t>
      </w:r>
      <w:r w:rsidR="002736E4">
        <w:t xml:space="preserve"> C</w:t>
      </w:r>
      <w:r>
        <w:t>hanges or improvements that have been made or will be made as a result of the committee’s work.</w:t>
      </w:r>
    </w:p>
    <w:p w14:paraId="16DCFB18" w14:textId="263F44E0" w:rsidR="00EA28B8" w:rsidRDefault="00EA28B8" w:rsidP="002736E4">
      <w:pPr>
        <w:spacing w:before="120" w:after="120" w:line="240" w:lineRule="auto"/>
      </w:pPr>
      <w:r w:rsidRPr="00EA28B8">
        <w:rPr>
          <w:rStyle w:val="Heading3Char"/>
        </w:rPr>
        <w:t>Sponsor</w:t>
      </w:r>
      <w:r>
        <w:t xml:space="preserve">:  </w:t>
      </w:r>
      <w:r w:rsidR="00006F38">
        <w:t>Person responsible for the overall success of the committee, defining success criteria, and ensuring successful delivery of the outcomes.</w:t>
      </w:r>
    </w:p>
    <w:p w14:paraId="1A1AB736" w14:textId="3E8784DA" w:rsidR="00EA28B8" w:rsidRDefault="00EA28B8" w:rsidP="002736E4">
      <w:pPr>
        <w:spacing w:before="120" w:after="120" w:line="240" w:lineRule="auto"/>
      </w:pPr>
      <w:r w:rsidRPr="00EA28B8">
        <w:rPr>
          <w:rStyle w:val="Heading3Char"/>
        </w:rPr>
        <w:t>Committee Chair</w:t>
      </w:r>
      <w:r>
        <w:t xml:space="preserve">:  </w:t>
      </w:r>
    </w:p>
    <w:p w14:paraId="22D15BAB" w14:textId="06A9A7A9" w:rsidR="00EA28B8" w:rsidRDefault="00EA28B8" w:rsidP="002736E4">
      <w:pPr>
        <w:spacing w:before="120" w:after="120" w:line="240" w:lineRule="auto"/>
      </w:pPr>
      <w:r w:rsidRPr="00EA28B8">
        <w:rPr>
          <w:rStyle w:val="Heading3Char"/>
        </w:rPr>
        <w:t>Committee Member</w:t>
      </w:r>
      <w:r>
        <w:t xml:space="preserve">:  </w:t>
      </w:r>
      <w:r w:rsidR="00A95348">
        <w:t>People who help with running a committee, attend meetings, and help the committee meet its aims and objectives.</w:t>
      </w:r>
    </w:p>
    <w:p w14:paraId="18A9BF84" w14:textId="77777777" w:rsidR="002736E4" w:rsidRDefault="002736E4" w:rsidP="002736E4">
      <w:pPr>
        <w:spacing w:before="120" w:after="120" w:line="240" w:lineRule="auto"/>
      </w:pPr>
    </w:p>
    <w:p w14:paraId="4324E699" w14:textId="5E3FD7B2" w:rsidR="00AA5AB9" w:rsidRDefault="009B268B" w:rsidP="002736E4">
      <w:pPr>
        <w:pStyle w:val="Heading3"/>
      </w:pPr>
      <w:r>
        <w:t>The Standing Committee List with m</w:t>
      </w:r>
      <w:r w:rsidR="00AA5AB9">
        <w:t>embers</w:t>
      </w:r>
      <w:r>
        <w:t>hip</w:t>
      </w:r>
      <w:r w:rsidR="002736E4">
        <w:t xml:space="preserve"> </w:t>
      </w:r>
      <w:r>
        <w:t>is located</w:t>
      </w:r>
      <w:r w:rsidR="00343D06">
        <w:t xml:space="preserve"> </w:t>
      </w:r>
      <w:hyperlink r:id="rId12" w:history="1">
        <w:r w:rsidR="00343D06" w:rsidRPr="00343D06">
          <w:rPr>
            <w:rStyle w:val="Hyperlink"/>
          </w:rPr>
          <w:t>here</w:t>
        </w:r>
      </w:hyperlink>
      <w:r w:rsidR="00343D06">
        <w:t xml:space="preserve"> </w:t>
      </w:r>
      <w:r>
        <w:t>in Sharepoint</w:t>
      </w:r>
      <w:r w:rsidR="00343D06">
        <w:t>.</w:t>
      </w:r>
    </w:p>
    <w:p w14:paraId="79AF4588" w14:textId="77777777" w:rsidR="002736E4" w:rsidRPr="002736E4" w:rsidRDefault="002736E4" w:rsidP="002736E4"/>
    <w:p w14:paraId="540B7D53" w14:textId="3729D582" w:rsidR="00AA5AB9" w:rsidRDefault="00AA5AB9" w:rsidP="002736E4">
      <w:pPr>
        <w:pStyle w:val="Heading2"/>
      </w:pPr>
      <w:r>
        <w:t>Standing Committees for 20</w:t>
      </w:r>
      <w:r w:rsidR="00BF431D">
        <w:t>23</w:t>
      </w:r>
      <w:r>
        <w:t>-202</w:t>
      </w:r>
      <w:r w:rsidR="00BF431D">
        <w:t>4</w:t>
      </w:r>
      <w:r>
        <w:t>:</w:t>
      </w:r>
    </w:p>
    <w:p w14:paraId="57D3AA00" w14:textId="77777777" w:rsidR="00AA5AB9" w:rsidRDefault="00AA5AB9" w:rsidP="002736E4">
      <w:pPr>
        <w:spacing w:before="120" w:after="120" w:line="240" w:lineRule="auto"/>
      </w:pPr>
      <w:r>
        <w:t>Academic Affairs Council</w:t>
      </w:r>
    </w:p>
    <w:p w14:paraId="5E0A0CEB" w14:textId="4D648B84" w:rsidR="00BF431D" w:rsidRDefault="00BF431D" w:rsidP="002736E4">
      <w:pPr>
        <w:spacing w:before="120" w:after="120" w:line="240" w:lineRule="auto"/>
      </w:pPr>
      <w:r>
        <w:t xml:space="preserve">CoDe </w:t>
      </w:r>
    </w:p>
    <w:p w14:paraId="54BA924E" w14:textId="77777777" w:rsidR="00AA5AB9" w:rsidRDefault="00AA5AB9" w:rsidP="002736E4">
      <w:pPr>
        <w:spacing w:before="120" w:after="120" w:line="240" w:lineRule="auto"/>
      </w:pPr>
      <w:r>
        <w:t>Compliance and Accreditation</w:t>
      </w:r>
    </w:p>
    <w:p w14:paraId="148B8DA9" w14:textId="25C37BFA" w:rsidR="00AA5AB9" w:rsidRDefault="00BF431D" w:rsidP="002736E4">
      <w:pPr>
        <w:spacing w:before="120" w:after="120" w:line="240" w:lineRule="auto"/>
      </w:pPr>
      <w:r>
        <w:t xml:space="preserve">Continuing Education Accountability and Compliance </w:t>
      </w:r>
    </w:p>
    <w:p w14:paraId="2FDD1BFC" w14:textId="0B855A0E" w:rsidR="00BF431D" w:rsidRDefault="00BF431D" w:rsidP="002736E4">
      <w:pPr>
        <w:spacing w:before="120" w:after="120" w:line="240" w:lineRule="auto"/>
      </w:pPr>
      <w:r>
        <w:t>Curriculum</w:t>
      </w:r>
    </w:p>
    <w:p w14:paraId="48C63F45" w14:textId="77777777" w:rsidR="00AA5AB9" w:rsidRDefault="00AA5AB9" w:rsidP="002736E4">
      <w:pPr>
        <w:spacing w:before="120" w:after="120" w:line="240" w:lineRule="auto"/>
      </w:pPr>
      <w:r>
        <w:t>Diversity and Inclusion</w:t>
      </w:r>
    </w:p>
    <w:p w14:paraId="4A2646FF" w14:textId="7BB4DF13" w:rsidR="00BF431D" w:rsidRDefault="00BF431D" w:rsidP="002736E4">
      <w:pPr>
        <w:spacing w:before="120" w:after="120" w:line="240" w:lineRule="auto"/>
      </w:pPr>
      <w:r>
        <w:t>Economic &amp; Workforce Development / Continuing Education Council</w:t>
      </w:r>
    </w:p>
    <w:p w14:paraId="54A06A47" w14:textId="1E78A541" w:rsidR="00BF431D" w:rsidRDefault="00BF431D" w:rsidP="002736E4">
      <w:pPr>
        <w:spacing w:before="120" w:after="120" w:line="240" w:lineRule="auto"/>
      </w:pPr>
      <w:r>
        <w:t>Economic Development and Entrepreneurship</w:t>
      </w:r>
    </w:p>
    <w:p w14:paraId="66D206D6" w14:textId="77777777" w:rsidR="00AA5AB9" w:rsidRDefault="00AA5AB9" w:rsidP="002736E4">
      <w:pPr>
        <w:spacing w:before="120" w:after="120" w:line="240" w:lineRule="auto"/>
      </w:pPr>
      <w:r>
        <w:t>Emergency Preparedness</w:t>
      </w:r>
    </w:p>
    <w:p w14:paraId="225D3169" w14:textId="77777777" w:rsidR="00AA5AB9" w:rsidRDefault="00AA5AB9" w:rsidP="002736E4">
      <w:pPr>
        <w:spacing w:before="120" w:after="120" w:line="240" w:lineRule="auto"/>
      </w:pPr>
      <w:r>
        <w:t>Employee Events</w:t>
      </w:r>
    </w:p>
    <w:p w14:paraId="6C3D51AC" w14:textId="77777777" w:rsidR="00AA5AB9" w:rsidRDefault="00AA5AB9" w:rsidP="002736E4">
      <w:pPr>
        <w:spacing w:before="120" w:after="120" w:line="240" w:lineRule="auto"/>
      </w:pPr>
      <w:r>
        <w:t>Enrollment Management</w:t>
      </w:r>
    </w:p>
    <w:p w14:paraId="07732D19" w14:textId="624417F6" w:rsidR="00AA5AB9" w:rsidRDefault="00AA5AB9" w:rsidP="002736E4">
      <w:pPr>
        <w:spacing w:before="120" w:after="120" w:line="240" w:lineRule="auto"/>
      </w:pPr>
      <w:r>
        <w:t xml:space="preserve">Faculty </w:t>
      </w:r>
      <w:r w:rsidR="00BF431D">
        <w:t>Senate</w:t>
      </w:r>
    </w:p>
    <w:p w14:paraId="6895C410" w14:textId="77777777" w:rsidR="00AA5AB9" w:rsidRDefault="00AA5AB9" w:rsidP="002736E4">
      <w:pPr>
        <w:spacing w:before="120" w:after="120" w:line="240" w:lineRule="auto"/>
      </w:pPr>
      <w:r>
        <w:t>Ferguson Endowment for Faculty Development</w:t>
      </w:r>
    </w:p>
    <w:p w14:paraId="76C18A38" w14:textId="4C6D4321" w:rsidR="00BF431D" w:rsidRDefault="00BF431D" w:rsidP="002736E4">
      <w:pPr>
        <w:spacing w:before="120" w:after="120" w:line="240" w:lineRule="auto"/>
      </w:pPr>
      <w:r>
        <w:t>General Education</w:t>
      </w:r>
    </w:p>
    <w:p w14:paraId="548F8B8D" w14:textId="77777777" w:rsidR="00AA5AB9" w:rsidRDefault="00AA5AB9" w:rsidP="002736E4">
      <w:pPr>
        <w:spacing w:before="120" w:after="120" w:line="240" w:lineRule="auto"/>
      </w:pPr>
      <w:r>
        <w:t>Global Education</w:t>
      </w:r>
    </w:p>
    <w:p w14:paraId="21E99616" w14:textId="77777777" w:rsidR="00AA5AB9" w:rsidRDefault="00AA5AB9" w:rsidP="002736E4">
      <w:pPr>
        <w:spacing w:before="120" w:after="120" w:line="240" w:lineRule="auto"/>
      </w:pPr>
      <w:r>
        <w:t>Information Security</w:t>
      </w:r>
    </w:p>
    <w:p w14:paraId="408CB397" w14:textId="0A2859F1" w:rsidR="00BF431D" w:rsidRDefault="00BF431D" w:rsidP="002736E4">
      <w:pPr>
        <w:spacing w:before="120" w:after="120" w:line="240" w:lineRule="auto"/>
      </w:pPr>
      <w:r>
        <w:t>Institutional Review Board</w:t>
      </w:r>
    </w:p>
    <w:p w14:paraId="13C649C0" w14:textId="77777777" w:rsidR="00AA5AB9" w:rsidRDefault="00AA5AB9" w:rsidP="002736E4">
      <w:pPr>
        <w:spacing w:before="120" w:after="120" w:line="240" w:lineRule="auto"/>
      </w:pPr>
      <w:r>
        <w:t>QEP</w:t>
      </w:r>
    </w:p>
    <w:p w14:paraId="046B74D4" w14:textId="77777777" w:rsidR="00AA5AB9" w:rsidRDefault="00AA5AB9" w:rsidP="002736E4">
      <w:pPr>
        <w:spacing w:before="120" w:after="120" w:line="240" w:lineRule="auto"/>
      </w:pPr>
      <w:r>
        <w:t>Staff Association</w:t>
      </w:r>
    </w:p>
    <w:p w14:paraId="2E65C1E9" w14:textId="19890B08" w:rsidR="00BF431D" w:rsidRDefault="00BF431D" w:rsidP="002736E4">
      <w:pPr>
        <w:spacing w:before="120" w:after="120" w:line="240" w:lineRule="auto"/>
      </w:pPr>
      <w:r>
        <w:t>Strategic Planning</w:t>
      </w:r>
    </w:p>
    <w:p w14:paraId="6FA8C1F5" w14:textId="77777777" w:rsidR="00AA5AB9" w:rsidRDefault="00AA5AB9" w:rsidP="002736E4">
      <w:pPr>
        <w:spacing w:before="120" w:after="120" w:line="240" w:lineRule="auto"/>
      </w:pPr>
      <w:r>
        <w:t xml:space="preserve">Sustainability </w:t>
      </w:r>
    </w:p>
    <w:p w14:paraId="1B65285F" w14:textId="77777777" w:rsidR="00AA5AB9" w:rsidRDefault="00AA5AB9" w:rsidP="002736E4">
      <w:pPr>
        <w:spacing w:before="120" w:after="120" w:line="240" w:lineRule="auto"/>
      </w:pPr>
      <w:r>
        <w:t>Wellness</w:t>
      </w:r>
    </w:p>
    <w:p w14:paraId="12CA7392" w14:textId="77777777" w:rsidR="002736E4" w:rsidRDefault="002736E4" w:rsidP="002736E4">
      <w:pPr>
        <w:spacing w:before="120" w:after="120" w:line="240" w:lineRule="auto"/>
      </w:pPr>
    </w:p>
    <w:p w14:paraId="7BC05E35" w14:textId="77777777" w:rsidR="002736E4" w:rsidRPr="002736E4" w:rsidRDefault="002736E4" w:rsidP="002736E4">
      <w:pPr>
        <w:spacing w:before="120" w:after="120" w:line="240" w:lineRule="auto"/>
      </w:pPr>
      <w:r w:rsidRPr="002736E4">
        <w:t>Pursuant to Board policy, Chapter 500, Section 511, this procedure must be followed when dealing with standing committees.</w:t>
      </w:r>
    </w:p>
    <w:p w14:paraId="1DEB23F9" w14:textId="77777777" w:rsidR="002736E4" w:rsidRDefault="002736E4" w:rsidP="002736E4">
      <w:pPr>
        <w:spacing w:before="120" w:after="120" w:line="240" w:lineRule="auto"/>
      </w:pPr>
    </w:p>
    <w:p w14:paraId="60CFBFBA" w14:textId="3096782D" w:rsidR="00AA5AB9" w:rsidRDefault="00AA5AB9" w:rsidP="002736E4">
      <w:pPr>
        <w:spacing w:before="120" w:after="120" w:line="240" w:lineRule="auto"/>
      </w:pPr>
      <w:r w:rsidRPr="002736E4">
        <w:rPr>
          <w:rStyle w:val="Heading2Char"/>
        </w:rPr>
        <w:t>Owner:</w:t>
      </w:r>
      <w:r>
        <w:t xml:space="preserve"> </w:t>
      </w:r>
      <w:r w:rsidR="00A66F98">
        <w:t>Executive Director</w:t>
      </w:r>
      <w:r>
        <w:t>, Human Resources &amp; Organizational Development</w:t>
      </w:r>
    </w:p>
    <w:p w14:paraId="1CFB2C39" w14:textId="43192DDD" w:rsidR="002736E4" w:rsidRPr="00AA5AB9" w:rsidRDefault="002736E4" w:rsidP="002736E4">
      <w:pPr>
        <w:spacing w:before="120" w:after="120" w:line="240" w:lineRule="auto"/>
      </w:pPr>
      <w:r w:rsidRPr="002736E4">
        <w:rPr>
          <w:rStyle w:val="Heading2Char"/>
        </w:rPr>
        <w:t>Updated:</w:t>
      </w:r>
      <w:r>
        <w:t xml:space="preserve">  August 21, 20</w:t>
      </w:r>
      <w:r w:rsidR="00BF431D">
        <w:t>23</w:t>
      </w:r>
    </w:p>
    <w:sectPr w:rsidR="002736E4" w:rsidRPr="00AA5AB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4E138" w14:textId="77777777" w:rsidR="00CC5945" w:rsidRDefault="00CC5945" w:rsidP="00CC5945">
      <w:pPr>
        <w:spacing w:after="0" w:line="240" w:lineRule="auto"/>
      </w:pPr>
      <w:r>
        <w:separator/>
      </w:r>
    </w:p>
  </w:endnote>
  <w:endnote w:type="continuationSeparator" w:id="0">
    <w:p w14:paraId="6690F88F" w14:textId="77777777" w:rsidR="00CC5945" w:rsidRDefault="00CC5945" w:rsidP="00CC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950380"/>
      <w:docPartObj>
        <w:docPartGallery w:val="Page Numbers (Bottom of Page)"/>
        <w:docPartUnique/>
      </w:docPartObj>
    </w:sdtPr>
    <w:sdtEndPr>
      <w:rPr>
        <w:noProof/>
      </w:rPr>
    </w:sdtEndPr>
    <w:sdtContent>
      <w:p w14:paraId="7369284E" w14:textId="2BA616F4" w:rsidR="00CC5945" w:rsidRDefault="00CC5945">
        <w:pPr>
          <w:pStyle w:val="Footer"/>
          <w:jc w:val="center"/>
        </w:pPr>
        <w:r>
          <w:fldChar w:fldCharType="begin"/>
        </w:r>
        <w:r>
          <w:instrText xml:space="preserve"> PAGE   \* MERGEFORMAT </w:instrText>
        </w:r>
        <w:r>
          <w:fldChar w:fldCharType="separate"/>
        </w:r>
        <w:r w:rsidR="00ED6075">
          <w:rPr>
            <w:noProof/>
          </w:rPr>
          <w:t>2</w:t>
        </w:r>
        <w:r>
          <w:rPr>
            <w:noProof/>
          </w:rPr>
          <w:fldChar w:fldCharType="end"/>
        </w:r>
      </w:p>
    </w:sdtContent>
  </w:sdt>
  <w:p w14:paraId="243C3ED6" w14:textId="77777777" w:rsidR="00CC5945" w:rsidRDefault="00CC5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34D04" w14:textId="77777777" w:rsidR="00CC5945" w:rsidRDefault="00CC5945" w:rsidP="00CC5945">
      <w:pPr>
        <w:spacing w:after="0" w:line="240" w:lineRule="auto"/>
      </w:pPr>
      <w:r>
        <w:separator/>
      </w:r>
    </w:p>
  </w:footnote>
  <w:footnote w:type="continuationSeparator" w:id="0">
    <w:p w14:paraId="4EEE71E9" w14:textId="77777777" w:rsidR="00CC5945" w:rsidRDefault="00CC5945" w:rsidP="00CC5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F76AAF"/>
    <w:multiLevelType w:val="hybridMultilevel"/>
    <w:tmpl w:val="DC9CDADE"/>
    <w:lvl w:ilvl="0" w:tplc="0409000F">
      <w:start w:val="1"/>
      <w:numFmt w:val="decimal"/>
      <w:lvlText w:val="%1."/>
      <w:lvlJc w:val="left"/>
      <w:pPr>
        <w:ind w:left="720" w:hanging="360"/>
      </w:pPr>
      <w:rPr>
        <w:rFonts w:hint="default"/>
      </w:rPr>
    </w:lvl>
    <w:lvl w:ilvl="1" w:tplc="289408F2">
      <w:start w:val="1"/>
      <w:numFmt w:val="lowerLetter"/>
      <w:lvlText w:val="%2."/>
      <w:lvlJc w:val="left"/>
      <w:pPr>
        <w:ind w:left="108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651B7C"/>
    <w:multiLevelType w:val="hybridMultilevel"/>
    <w:tmpl w:val="41609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2387653">
    <w:abstractNumId w:val="1"/>
  </w:num>
  <w:num w:numId="2" w16cid:durableId="1948151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06F38"/>
    <w:rsid w:val="000B6808"/>
    <w:rsid w:val="00186E5B"/>
    <w:rsid w:val="002736E4"/>
    <w:rsid w:val="00343D06"/>
    <w:rsid w:val="00397CF6"/>
    <w:rsid w:val="006F1627"/>
    <w:rsid w:val="007B6691"/>
    <w:rsid w:val="00913515"/>
    <w:rsid w:val="009B268B"/>
    <w:rsid w:val="009B76A0"/>
    <w:rsid w:val="00A66F98"/>
    <w:rsid w:val="00A95348"/>
    <w:rsid w:val="00AA5AB9"/>
    <w:rsid w:val="00AB73AD"/>
    <w:rsid w:val="00B7282C"/>
    <w:rsid w:val="00BF431D"/>
    <w:rsid w:val="00C300AF"/>
    <w:rsid w:val="00C667F8"/>
    <w:rsid w:val="00CC5945"/>
    <w:rsid w:val="00D36D59"/>
    <w:rsid w:val="00DD553E"/>
    <w:rsid w:val="00E52999"/>
    <w:rsid w:val="00EA28B8"/>
    <w:rsid w:val="00ED6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3692E"/>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736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CC5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945"/>
  </w:style>
  <w:style w:type="paragraph" w:styleId="Footer">
    <w:name w:val="footer"/>
    <w:basedOn w:val="Normal"/>
    <w:link w:val="FooterChar"/>
    <w:uiPriority w:val="99"/>
    <w:unhideWhenUsed/>
    <w:rsid w:val="00CC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945"/>
  </w:style>
  <w:style w:type="character" w:customStyle="1" w:styleId="Heading3Char">
    <w:name w:val="Heading 3 Char"/>
    <w:basedOn w:val="DefaultParagraphFont"/>
    <w:link w:val="Heading3"/>
    <w:uiPriority w:val="9"/>
    <w:rsid w:val="002736E4"/>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2736E4"/>
    <w:pPr>
      <w:ind w:left="720"/>
      <w:contextualSpacing/>
    </w:pPr>
  </w:style>
  <w:style w:type="character" w:styleId="Hyperlink">
    <w:name w:val="Hyperlink"/>
    <w:basedOn w:val="DefaultParagraphFont"/>
    <w:uiPriority w:val="99"/>
    <w:unhideWhenUsed/>
    <w:rsid w:val="009B268B"/>
    <w:rPr>
      <w:color w:val="0000FF" w:themeColor="hyperlink"/>
      <w:u w:val="single"/>
    </w:rPr>
  </w:style>
  <w:style w:type="character" w:styleId="FollowedHyperlink">
    <w:name w:val="FollowedHyperlink"/>
    <w:basedOn w:val="DefaultParagraphFont"/>
    <w:uiPriority w:val="99"/>
    <w:semiHidden/>
    <w:unhideWhenUsed/>
    <w:rsid w:val="00343D06"/>
    <w:rPr>
      <w:color w:val="800080" w:themeColor="followedHyperlink"/>
      <w:u w:val="single"/>
    </w:rPr>
  </w:style>
  <w:style w:type="character" w:styleId="UnresolvedMention">
    <w:name w:val="Unresolved Mention"/>
    <w:basedOn w:val="DefaultParagraphFont"/>
    <w:uiPriority w:val="99"/>
    <w:semiHidden/>
    <w:unhideWhenUsed/>
    <w:rsid w:val="00343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btechedu.sharepoint.com/sites/StandingCommitteesClearinghou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1070</Policy_x0020_Topic>
    <Related_x0020_Forms xmlns="35a135f3-0890-48fe-9b8a-01319c4a237d">
      <Value>218</Value>
    </Related_x0020_Forms>
    <_dlc_DocId xmlns="bebb4801-54de-4360-b8be-17d68ad98198">5XFVYUFMDQTF-1824054229-878</_dlc_DocId>
    <_dlc_DocIdUrl xmlns="bebb4801-54de-4360-b8be-17d68ad98198">
      <Url>https://policies.abtech.edu/_layouts/15/DocIdRedir.aspx?ID=5XFVYUFMDQTF-1824054229-878</Url>
      <Description>5XFVYUFMDQTF-1824054229-878</Description>
    </_dlc_DocIdUrl>
    <_dlc_DocIdPersistId xmlns="bebb4801-54de-4360-b8be-17d68ad98198">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BA73FC4-4966-41C6-8874-6AEBDA5F9966}">
  <ds:schemaRefs>
    <ds:schemaRef ds:uri="http://schemas.microsoft.com/sharepoint/v3/contenttype/forms"/>
  </ds:schemaRefs>
</ds:datastoreItem>
</file>

<file path=customXml/itemProps2.xml><?xml version="1.0" encoding="utf-8"?>
<ds:datastoreItem xmlns:ds="http://schemas.openxmlformats.org/officeDocument/2006/customXml" ds:itemID="{6889EA34-5DDC-4B44-A86C-F2DB04C7A233}">
  <ds:schemaRefs>
    <ds:schemaRef ds:uri="http://purl.org/dc/dcmitype/"/>
    <ds:schemaRef ds:uri="bebb4801-54de-4360-b8be-17d68ad98198"/>
    <ds:schemaRef ds:uri="http://schemas.openxmlformats.org/package/2006/metadata/core-properties"/>
    <ds:schemaRef ds:uri="http://schemas.microsoft.com/office/2006/documentManagement/types"/>
    <ds:schemaRef ds:uri="35a135f3-0890-48fe-9b8a-01319c4a237d"/>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670E552E-8A6B-45CD-BA48-2AAD7F5C1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290E4C-96F2-44E8-A3FE-DFE8EEED24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Standing Committees Procedure</vt:lpstr>
    </vt:vector>
  </TitlesOfParts>
  <Company>A-B Tech Community College</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Committees Procedure</dc:title>
  <dc:subject/>
  <dc:creator>Carolyn H Rice</dc:creator>
  <cp:keywords/>
  <dc:description/>
  <cp:lastModifiedBy>Carolyn H. Rice</cp:lastModifiedBy>
  <cp:revision>9</cp:revision>
  <dcterms:created xsi:type="dcterms:W3CDTF">2020-06-09T15:07:00Z</dcterms:created>
  <dcterms:modified xsi:type="dcterms:W3CDTF">2024-06-28T15:42:00Z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5725e57a-d36e-4e5b-8dbd-e64deb89a538</vt:lpwstr>
  </property>
  <property fmtid="{D5CDD505-2E9C-101B-9397-08002B2CF9AE}" pid="4" name="Order">
    <vt:r8>87800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